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5BFA" w14:textId="4FF1A189" w:rsidR="00035FD4" w:rsidRPr="003B7ED3" w:rsidRDefault="00035FD4" w:rsidP="00035FD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3B7ED3">
        <w:rPr>
          <w:rFonts w:ascii="Times New Roman" w:hAnsi="Times New Roman" w:cs="Times New Roman"/>
          <w:sz w:val="40"/>
          <w:szCs w:val="40"/>
          <w:lang w:val="kk-KZ"/>
        </w:rPr>
        <w:t xml:space="preserve">10 </w:t>
      </w:r>
      <w:r w:rsidRPr="003B7ED3">
        <w:rPr>
          <w:rFonts w:ascii="Times New Roman" w:hAnsi="Times New Roman" w:cs="Times New Roman"/>
          <w:sz w:val="40"/>
          <w:szCs w:val="40"/>
          <w:highlight w:val="green"/>
          <w:lang w:val="kk-KZ"/>
        </w:rPr>
        <w:t>Дәріс</w:t>
      </w:r>
      <w:r w:rsidRPr="003B7ED3">
        <w:rPr>
          <w:rFonts w:ascii="Times New Roman" w:hAnsi="Times New Roman" w:cs="Times New Roman"/>
          <w:sz w:val="40"/>
          <w:szCs w:val="40"/>
          <w:lang w:val="kk-KZ"/>
        </w:rPr>
        <w:t xml:space="preserve"> –</w:t>
      </w:r>
      <w:bookmarkStart w:id="0" w:name="_Hlk155088796"/>
      <w:r w:rsidR="003B7ED3" w:rsidRPr="003B7ED3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3B7ED3" w:rsidRPr="003B7ED3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Топтық тәртіптің негіздері</w:t>
      </w:r>
      <w:bookmarkEnd w:id="0"/>
      <w:r w:rsidR="003B7ED3" w:rsidRPr="003B7ED3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.</w:t>
      </w:r>
    </w:p>
    <w:p w14:paraId="01B575C4" w14:textId="77777777" w:rsidR="00035FD4" w:rsidRPr="003B7ED3" w:rsidRDefault="00035FD4" w:rsidP="00035FD4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3B7ED3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2973A211" w14:textId="7516E420" w:rsidR="00035FD4" w:rsidRPr="003B7ED3" w:rsidRDefault="00035FD4" w:rsidP="00035FD4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t>1.</w:t>
      </w:r>
      <w:r w:rsidR="003B7ED3" w:rsidRPr="003B7ED3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 xml:space="preserve"> Топтық тәртіптің негіздері.</w:t>
      </w:r>
    </w:p>
    <w:p w14:paraId="541D330E" w14:textId="78DCD183" w:rsidR="00035FD4" w:rsidRPr="003B7ED3" w:rsidRDefault="00035FD4" w:rsidP="00035FD4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t>2.</w:t>
      </w:r>
      <w:r w:rsidR="003B7ED3" w:rsidRPr="003B7ED3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 Топ жұмысының р</w:t>
      </w:r>
      <w:r w:rsidR="003B7ED3"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t>олі және мәні</w:t>
      </w:r>
      <w:hyperlink r:id="rId5" w:anchor="t69" w:history="1">
        <w:r w:rsidR="003B7ED3" w:rsidRPr="003B7ED3">
          <w:rPr>
            <w:rFonts w:ascii="Times New Roman" w:hAnsi="Times New Roman" w:cs="Times New Roman"/>
            <w:color w:val="FF0000"/>
            <w:sz w:val="40"/>
            <w:szCs w:val="40"/>
            <w:lang w:val="kk-KZ"/>
          </w:rPr>
          <w:t xml:space="preserve">, тиімді </w:t>
        </w:r>
        <w:r w:rsidR="003B7ED3" w:rsidRPr="003B7ED3">
          <w:rPr>
            <w:rFonts w:ascii="Times New Roman" w:hAnsi="Times New Roman" w:cs="Times New Roman"/>
            <w:bCs/>
            <w:color w:val="FF0000"/>
            <w:sz w:val="40"/>
            <w:szCs w:val="40"/>
            <w:lang w:val="kk-KZ"/>
          </w:rPr>
          <w:t>топтық жұмыстың шарттары мен факторлары</w:t>
        </w:r>
      </w:hyperlink>
    </w:p>
    <w:p w14:paraId="7F3C787F" w14:textId="17828730" w:rsidR="00035FD4" w:rsidRPr="003B7ED3" w:rsidRDefault="00035FD4" w:rsidP="00035FD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3B7ED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3B7ED3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Дәріс мақсаты</w:t>
      </w:r>
      <w:r w:rsidRPr="003B7ED3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3B7ED3" w:rsidRPr="003B7ED3">
        <w:rPr>
          <w:rFonts w:ascii="Times New Roman" w:hAnsi="Times New Roman" w:cs="Times New Roman"/>
          <w:color w:val="0070C0"/>
          <w:sz w:val="28"/>
          <w:szCs w:val="28"/>
          <w:lang w:val="kk-KZ"/>
        </w:rPr>
        <w:t>–</w:t>
      </w:r>
      <w:r w:rsidR="003B7ED3" w:rsidRPr="003B7E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B7ED3" w:rsidRPr="003B7ED3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студенттерге топтық тәртіптің негіздері, </w:t>
      </w:r>
      <w:r w:rsidR="003B7ED3" w:rsidRPr="003B7ED3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топ жұмысының р</w:t>
      </w:r>
      <w:r w:rsidR="003B7ED3" w:rsidRPr="003B7ED3">
        <w:rPr>
          <w:rFonts w:ascii="Times New Roman" w:hAnsi="Times New Roman" w:cs="Times New Roman"/>
          <w:color w:val="0070C0"/>
          <w:sz w:val="28"/>
          <w:szCs w:val="28"/>
          <w:lang w:val="kk-KZ"/>
        </w:rPr>
        <w:t>олі және мәні</w:t>
      </w:r>
      <w:hyperlink r:id="rId6" w:anchor="t69" w:history="1">
        <w:r w:rsidR="003B7ED3" w:rsidRPr="003B7ED3">
          <w:rPr>
            <w:rFonts w:ascii="Times New Roman" w:hAnsi="Times New Roman" w:cs="Times New Roman"/>
            <w:color w:val="0070C0"/>
            <w:sz w:val="28"/>
            <w:szCs w:val="28"/>
            <w:lang w:val="kk-KZ"/>
          </w:rPr>
          <w:t xml:space="preserve">, тиімді </w:t>
        </w:r>
        <w:r w:rsidR="003B7ED3" w:rsidRPr="003B7ED3">
          <w:rPr>
            <w:rFonts w:ascii="Times New Roman" w:hAnsi="Times New Roman" w:cs="Times New Roman"/>
            <w:bCs/>
            <w:color w:val="0070C0"/>
            <w:sz w:val="28"/>
            <w:szCs w:val="28"/>
            <w:lang w:val="kk-KZ"/>
          </w:rPr>
          <w:t>топтық жұмыстың шарттары мен факторлары</w:t>
        </w:r>
      </w:hyperlink>
      <w:r w:rsidR="003B7ED3" w:rsidRPr="003B7ED3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н жүйелі түсіндіру</w:t>
      </w:r>
    </w:p>
    <w:p w14:paraId="12B1F4F1" w14:textId="4DE7AD3A" w:rsidR="001632AF" w:rsidRPr="00035FD4" w:rsidRDefault="001632AF">
      <w:pPr>
        <w:rPr>
          <w:lang w:val="kk-KZ"/>
        </w:rPr>
      </w:pPr>
    </w:p>
    <w:p w14:paraId="63358B9E" w14:textId="58A22043" w:rsidR="008818AB" w:rsidRPr="008818AB" w:rsidRDefault="00690FD6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818AB" w:rsidRPr="008818AB">
        <w:rPr>
          <w:rFonts w:ascii="Times New Roman" w:hAnsi="Times New Roman" w:cs="Times New Roman"/>
          <w:sz w:val="28"/>
          <w:szCs w:val="28"/>
          <w:lang w:val="kk-KZ"/>
        </w:rPr>
        <w:t>Топтың сипаттамасы – Мәртебе – әрбір қоғамға енетін, топтар немесе топ мүшелеріне</w:t>
      </w:r>
      <w:r w:rsidR="008818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8AB" w:rsidRPr="008818AB">
        <w:rPr>
          <w:rFonts w:ascii="Times New Roman" w:hAnsi="Times New Roman" w:cs="Times New Roman"/>
          <w:sz w:val="28"/>
          <w:szCs w:val="28"/>
          <w:lang w:val="kk-KZ"/>
        </w:rPr>
        <w:t>басқалар тағайындалған әлеуметтік тұрғыдан анықталған ұстанымы немесе дәрежесі. Уақыт</w:t>
      </w:r>
      <w:r w:rsidR="008818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8AB" w:rsidRPr="008818AB">
        <w:rPr>
          <w:rFonts w:ascii="Times New Roman" w:hAnsi="Times New Roman" w:cs="Times New Roman"/>
          <w:sz w:val="28"/>
          <w:szCs w:val="28"/>
          <w:lang w:val="kk-KZ"/>
        </w:rPr>
        <w:t>өте келе тіпті, ең кішкентай топ қатысушы ретінде мәртебесі бойынша айырмашылықтарын</w:t>
      </w:r>
      <w:r w:rsidR="008818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8AB" w:rsidRPr="008818AB">
        <w:rPr>
          <w:rFonts w:ascii="Times New Roman" w:hAnsi="Times New Roman" w:cs="Times New Roman"/>
          <w:sz w:val="28"/>
          <w:szCs w:val="28"/>
          <w:lang w:val="kk-KZ"/>
        </w:rPr>
        <w:t>көрсетеді. Адамдар өздерінің мәртебесі деп санайтын нәрселермен және басқалардың оны</w:t>
      </w:r>
    </w:p>
    <w:p w14:paraId="086F5CE9" w14:textId="50B999CD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қалай қабылдайтынына сәйкес келмеген кезде, мәртебе маңызды ынталандырушы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8AB">
        <w:rPr>
          <w:rFonts w:ascii="Times New Roman" w:hAnsi="Times New Roman" w:cs="Times New Roman"/>
          <w:sz w:val="28"/>
          <w:szCs w:val="28"/>
          <w:lang w:val="kk-KZ"/>
        </w:rPr>
        <w:t>мінез-құлықты елеулі зардаптары болады.</w:t>
      </w:r>
    </w:p>
    <w:p w14:paraId="29732B91" w14:textId="22FEC21F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Топтағы мәртебе – бұл топтың басқа мүшелері тарапынан тағайындалған лауазымы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8AB">
        <w:rPr>
          <w:rFonts w:ascii="Times New Roman" w:hAnsi="Times New Roman" w:cs="Times New Roman"/>
          <w:sz w:val="28"/>
          <w:szCs w:val="28"/>
          <w:lang w:val="kk-KZ"/>
        </w:rPr>
        <w:t>атағы.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8AB">
        <w:rPr>
          <w:rFonts w:ascii="Times New Roman" w:hAnsi="Times New Roman" w:cs="Times New Roman"/>
          <w:sz w:val="28"/>
          <w:szCs w:val="28"/>
          <w:lang w:val="kk-KZ"/>
        </w:rPr>
        <w:t>Мәртебе ресми және бейресми болуы мүмкін. Топтағы адамның мәртебесі бірнеше факторлармен анықталуы мүмкін, оның ішінде жұмыс иерархиясында еңбек өтілімі, кеңсе атауы,</w:t>
      </w:r>
    </w:p>
    <w:p w14:paraId="47D36947" w14:textId="535E7075" w:rsidR="00D01233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кабинеттің орналасуы, білім беру, әлеуметтік таланттар, жинақталған тәжірибе, құндылықтарға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8AB">
        <w:rPr>
          <w:rFonts w:ascii="Times New Roman" w:hAnsi="Times New Roman" w:cs="Times New Roman"/>
          <w:sz w:val="28"/>
          <w:szCs w:val="28"/>
          <w:lang w:val="kk-KZ"/>
        </w:rPr>
        <w:t>сәйкес келетін білім.</w:t>
      </w:r>
    </w:p>
    <w:p w14:paraId="77F3444D" w14:textId="36856022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Адамның және топтың арасындағы қарым-қатынасқа байланысты адамның кеңістікте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8AB">
        <w:rPr>
          <w:rFonts w:ascii="Times New Roman" w:hAnsi="Times New Roman" w:cs="Times New Roman"/>
          <w:sz w:val="28"/>
          <w:szCs w:val="28"/>
          <w:lang w:val="kk-KZ"/>
        </w:rPr>
        <w:t>орналасуының үш маңызды сипаттамасы бар:</w:t>
      </w:r>
    </w:p>
    <w:p w14:paraId="4A903782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1. Тұрақты немесе нақты орынның болуы. Тұрақты жұмыс орнының жетіспеушілігі, көптеген</w:t>
      </w:r>
    </w:p>
    <w:p w14:paraId="19AE41AF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адамдар арасындағы қарым-қатынастардағы мәселелер мен қақтығыстарды тудырады,</w:t>
      </w:r>
    </w:p>
    <w:p w14:paraId="4D1A86AD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жұмысқа қанағаттандыруды айтарлықтай азайтады;</w:t>
      </w:r>
    </w:p>
    <w:p w14:paraId="0DAD8C38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2. Жеке кеңістік. Адамдарды орналастырудағы кеңістіктіктің жақындығы көптеген</w:t>
      </w:r>
    </w:p>
    <w:p w14:paraId="55E8ED00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мәселелерді тудыруы мүмкін, өйткені адамдар жасына, жынысына және т.б. қарамастан, басқа</w:t>
      </w:r>
    </w:p>
    <w:p w14:paraId="63D8FCBA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адамдардың жақын орналасуын жақтырмады.</w:t>
      </w:r>
    </w:p>
    <w:p w14:paraId="166462B6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3. Орындардың өзара орналасуы. Егер жұмыс орындары бір-бірінен қоршалған болса, онда</w:t>
      </w:r>
    </w:p>
    <w:p w14:paraId="242B8C41" w14:textId="77777777" w:rsidR="008818AB" w:rsidRPr="008818AB" w:rsidRDefault="008818AB" w:rsidP="008818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t>бұл ресми қатынастардың дамуына ықпал етеді. Команда жетекшісінің жалпы кеңістіктегі</w:t>
      </w:r>
    </w:p>
    <w:p w14:paraId="45EA0412" w14:textId="7E4BFFFE" w:rsidR="00690FD6" w:rsidRPr="00690FD6" w:rsidRDefault="008818AB" w:rsidP="00E47D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18AB">
        <w:rPr>
          <w:rFonts w:ascii="Times New Roman" w:hAnsi="Times New Roman" w:cs="Times New Roman"/>
          <w:sz w:val="28"/>
          <w:szCs w:val="28"/>
          <w:lang w:val="kk-KZ"/>
        </w:rPr>
        <w:lastRenderedPageBreak/>
        <w:t>жұмыс орнының болуы топты белсендіруге және топтастыруға көмектеседі. Егер адам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8AB">
        <w:rPr>
          <w:rFonts w:ascii="Times New Roman" w:hAnsi="Times New Roman" w:cs="Times New Roman"/>
          <w:sz w:val="28"/>
          <w:szCs w:val="28"/>
          <w:lang w:val="kk-KZ"/>
        </w:rPr>
        <w:t>орнын үстелдің басында болса, онда бұл топтың басқа мүшелерінің алдында оны автоматты</w:t>
      </w:r>
      <w:bookmarkStart w:id="1" w:name="_Hlk153733325"/>
      <w:r w:rsidR="00E47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FD6" w:rsidRPr="00690FD6">
        <w:rPr>
          <w:rFonts w:ascii="Times New Roman" w:hAnsi="Times New Roman" w:cs="Times New Roman"/>
          <w:sz w:val="28"/>
          <w:szCs w:val="28"/>
          <w:lang w:val="kk-KZ"/>
        </w:rPr>
        <w:t>түрде көшбасшы ұстанымына қояды. Топ мүшелерінің орналасуы туралы осы және басқа да</w:t>
      </w:r>
      <w:r w:rsidR="00E47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FD6" w:rsidRPr="00690FD6">
        <w:rPr>
          <w:rFonts w:ascii="Times New Roman" w:hAnsi="Times New Roman" w:cs="Times New Roman"/>
          <w:sz w:val="28"/>
          <w:szCs w:val="28"/>
          <w:lang w:val="kk-KZ"/>
        </w:rPr>
        <w:t>мәселелерді білу басшылық айтарлықтай нәтижеге қол жеткізе алады және топ жұмысының</w:t>
      </w:r>
      <w:r w:rsidR="00E47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FD6" w:rsidRPr="00690FD6">
        <w:rPr>
          <w:rFonts w:ascii="Times New Roman" w:hAnsi="Times New Roman" w:cs="Times New Roman"/>
          <w:sz w:val="28"/>
          <w:szCs w:val="28"/>
          <w:lang w:val="kk-KZ"/>
        </w:rPr>
        <w:t>тиімділігін тек жұмыс орындарын дұрыс орналастыру арқылы ғана көтере алады.</w:t>
      </w:r>
    </w:p>
    <w:p w14:paraId="33923F55" w14:textId="23E4D5A0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Топ мүшелерінің арасындағы қарым-қатынастардағы күш пен конформизм адамға</w:t>
      </w:r>
      <w:r w:rsidR="00E47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әлеуметтік әсер ете алатындай көрінеді. Топ адамның мүдделеріне бағынуды талап ететін</w:t>
      </w:r>
      <w:r w:rsidR="00E47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топтық нормалар мен ережелерді ұстануды адамға қысым ретінде талап ететінін көрсетеді.</w:t>
      </w:r>
    </w:p>
    <w:p w14:paraId="3EAD747C" w14:textId="15D8173B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Адам бұл қысымға қарсы тұра алады және оны ұсына алады, яғни, конфорист ретінде</w:t>
      </w:r>
      <w:r w:rsidR="00E47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әрекет етеді. Конформизм адамның тіпті өз іс-әрекеттерінің адал болмағанын түсініп, топтың</w:t>
      </w:r>
      <w:r w:rsidR="00E47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қысымымен жүзеге асырады. Конформизм адамды топтың дәлелсіз апелляциясына айналдыра алады. Екінші жағынан, конформизмсіз біртұтас топ құру мүмкін емес екені анық. 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адам қатаң сәйкес келмейтін ұстанымға ие болса, ол топтың толыққанды мүшесі бола алмайды, ал топ пен оның арасындағы қақтығыстың бір сатысында топтан шығуға тура келеді. 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мүшелері арасындағы жеке қарым-қатынастар қаншалықты жақсы, топтағы мінез-құлықтың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конформизм дәрежесі неғұрлым жоғары болса, онда топ мүшелеріне әлеуметтік әсер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мүмкіндігі неғұрлым жоғары болады.</w:t>
      </w:r>
    </w:p>
    <w:p w14:paraId="1F5A8FE4" w14:textId="77777777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Ұйымдастыру тұрғысынан топ келесі жақтарына жауап іздеумен сипатталады:</w:t>
      </w:r>
    </w:p>
    <w:p w14:paraId="1DBFEC7B" w14:textId="37EABCCC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• Топтың міндеттері. Топ мүшелерінің мотивациялық қажеттіліктерін ұйымдастыру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қан\ағаттандыру мақсаттарына сәйкес айқын, ба?</w:t>
      </w:r>
    </w:p>
    <w:p w14:paraId="66DFE9FF" w14:textId="77777777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• Топтың құрамы. Бұл тапсырманы орындау үшін топ мүшелерінің саны жеткілікті ме?</w:t>
      </w:r>
    </w:p>
    <w:p w14:paraId="3720C822" w14:textId="77777777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• Топтық қалыпты жағдайлар. Топтың мүшелері тапсырманы орындау үшін мінезқұлықтың қалыпты жағдайын ұстанады ма?</w:t>
      </w:r>
    </w:p>
    <w:p w14:paraId="7860199E" w14:textId="2A422268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• Мадақтау жүйесі. Ұйымның мадақтау жүйесі топтағы жұмысты ынталандырады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ма? Мадақтау жүйесі жеке және топтық көрсеткіштер бойынша есепке алу тұрғысынан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теңдестірілген бе?</w:t>
      </w:r>
    </w:p>
    <w:p w14:paraId="06D97697" w14:textId="0B8C6F5A" w:rsidR="00690FD6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• Кәсіптік оқыту жүйесі. Топ мүшелерінің қажетті білімі мен дағдылары бар ма? Ұйымның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мүшелеріне қажетті дағдыларды дамытуға көмектесуге мүмкіндік бар ма?</w:t>
      </w:r>
    </w:p>
    <w:p w14:paraId="334BD326" w14:textId="67547C00" w:rsidR="008818AB" w:rsidRPr="00690FD6" w:rsidRDefault="00690FD6" w:rsidP="00690F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0FD6">
        <w:rPr>
          <w:rFonts w:ascii="Times New Roman" w:hAnsi="Times New Roman" w:cs="Times New Roman"/>
          <w:sz w:val="28"/>
          <w:szCs w:val="28"/>
          <w:lang w:val="kk-KZ"/>
        </w:rPr>
        <w:t>• Ақпараттық жүйе. Ол қажетті көлемде және сапада топтың жұмысына қажетті ақпаратпен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0FD6">
        <w:rPr>
          <w:rFonts w:ascii="Times New Roman" w:hAnsi="Times New Roman" w:cs="Times New Roman"/>
          <w:sz w:val="28"/>
          <w:szCs w:val="28"/>
          <w:lang w:val="kk-KZ"/>
        </w:rPr>
        <w:t>қамтамасыз ете ме?</w:t>
      </w:r>
    </w:p>
    <w:p w14:paraId="63B52739" w14:textId="2B4C9062" w:rsidR="00D01233" w:rsidRDefault="00D01233" w:rsidP="00D0123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әдебиеттер:</w:t>
      </w:r>
    </w:p>
    <w:p w14:paraId="37AEAC2B" w14:textId="77777777" w:rsidR="00D01233" w:rsidRDefault="00D01233" w:rsidP="00D0123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430FCE21" w14:textId="77777777" w:rsidR="00D01233" w:rsidRDefault="00D01233" w:rsidP="00D0123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063A007" w14:textId="77777777" w:rsidR="00D01233" w:rsidRDefault="00D01233" w:rsidP="00D012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4"/>
            <w:szCs w:val="24"/>
            <w:u w:val="none"/>
            <w:lang w:val="kk-KZ" w:eastAsia="kk-KZ"/>
            <w14:ligatures w14:val="none"/>
          </w:rPr>
          <w:t>www.adilet.zan.kz</w:t>
        </w:r>
      </w:hyperlink>
    </w:p>
    <w:p w14:paraId="18FF16CB" w14:textId="77777777" w:rsidR="00D01233" w:rsidRDefault="00D01233" w:rsidP="00D012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D1A32F4" w14:textId="77777777" w:rsidR="00D01233" w:rsidRDefault="00D01233" w:rsidP="00D012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1217FE0" w14:textId="77777777" w:rsidR="00D01233" w:rsidRDefault="00D01233" w:rsidP="00D012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3D3387EC" w14:textId="77777777" w:rsidR="00D01233" w:rsidRDefault="00D01233" w:rsidP="00D0123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7CF23083" w14:textId="77777777" w:rsidR="00D01233" w:rsidRDefault="00D01233" w:rsidP="00D012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723C123D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0594A9B9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333FBF8D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2FA4578B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4EBF48BC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B563AF4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hyperlink r:id="rId9" w:tgtFrame="_blank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https://urait.ru/bcode/510735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56205045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30B458A9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Юрайт,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11BA0CF6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298FEA5F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111F1069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FC55413" w14:textId="77777777" w:rsidR="00D01233" w:rsidRDefault="00D01233" w:rsidP="00D01233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00374522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363CFF0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72D18F0" w14:textId="77777777" w:rsidR="00D01233" w:rsidRDefault="00D01233" w:rsidP="00D01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Вешкурова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8225C84" w14:textId="77777777" w:rsidR="00D01233" w:rsidRDefault="00D01233" w:rsidP="00D012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944300A" w14:textId="77777777" w:rsidR="00D01233" w:rsidRDefault="00D01233" w:rsidP="00D0123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lastRenderedPageBreak/>
        <w:t>Қосымша әдебиеттер:</w:t>
      </w:r>
    </w:p>
    <w:p w14:paraId="17F39B52" w14:textId="77777777" w:rsidR="00D01233" w:rsidRDefault="00D01233" w:rsidP="00D0123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779A484A" w14:textId="77777777" w:rsidR="00D01233" w:rsidRDefault="00D01233" w:rsidP="00D0123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74D4453A" w14:textId="77777777" w:rsidR="00D01233" w:rsidRDefault="00D01233" w:rsidP="00D0123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0E70B623" w14:textId="77777777" w:rsidR="00D01233" w:rsidRDefault="00D01233" w:rsidP="00D0123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15081E21" w14:textId="77777777" w:rsidR="00D01233" w:rsidRDefault="00D01233" w:rsidP="00D0123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7378A16A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75D56002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15D11A59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1EC9849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3C9AD4BA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ADFC3DB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696BB3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08555BEA" w14:textId="77777777" w:rsidR="00D01233" w:rsidRDefault="00D01233" w:rsidP="00D012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1"/>
    </w:p>
    <w:p w14:paraId="28B99106" w14:textId="77777777" w:rsidR="00D01233" w:rsidRDefault="00D01233">
      <w:pPr>
        <w:rPr>
          <w:lang w:val="kk-KZ"/>
        </w:rPr>
      </w:pPr>
    </w:p>
    <w:p w14:paraId="15AECBEF" w14:textId="77777777" w:rsidR="00085C6B" w:rsidRDefault="00085C6B">
      <w:pPr>
        <w:rPr>
          <w:lang w:val="kk-KZ"/>
        </w:rPr>
      </w:pPr>
    </w:p>
    <w:p w14:paraId="0CFA4C07" w14:textId="77777777" w:rsidR="00085C6B" w:rsidRDefault="00085C6B" w:rsidP="00085C6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2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9436861" w14:textId="77777777" w:rsidR="00085C6B" w:rsidRDefault="00085C6B" w:rsidP="00085C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A084827" w14:textId="77777777" w:rsidR="00085C6B" w:rsidRDefault="00085C6B" w:rsidP="00085C6B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11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1AC4BDD6" w14:textId="77777777" w:rsidR="00085C6B" w:rsidRDefault="00000000" w:rsidP="00085C6B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2" w:history="1">
        <w:r w:rsidR="00085C6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08B38107" w14:textId="77777777" w:rsidR="00085C6B" w:rsidRDefault="00085C6B" w:rsidP="00085C6B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2"/>
    </w:p>
    <w:p w14:paraId="35C03A68" w14:textId="77777777" w:rsidR="00085C6B" w:rsidRPr="00D01233" w:rsidRDefault="00085C6B">
      <w:pPr>
        <w:rPr>
          <w:lang w:val="kk-KZ"/>
        </w:rPr>
      </w:pPr>
    </w:p>
    <w:sectPr w:rsidR="00085C6B" w:rsidRPr="00D0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5275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694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5D"/>
    <w:rsid w:val="00035FD4"/>
    <w:rsid w:val="00085C6B"/>
    <w:rsid w:val="000D585D"/>
    <w:rsid w:val="001632AF"/>
    <w:rsid w:val="003B7ED3"/>
    <w:rsid w:val="00690FD6"/>
    <w:rsid w:val="008818AB"/>
    <w:rsid w:val="00C568D4"/>
    <w:rsid w:val="00D01233"/>
    <w:rsid w:val="00E4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881B"/>
  <w15:chartTrackingRefBased/>
  <w15:docId w15:val="{D698579E-475D-4027-A63E-20F484F5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2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studentlibrary.ru%2Fbook%2FISBN9785001721994.html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ilet.zan.kz" TargetMode="External"/><Relationship Id="rId12" Type="http://schemas.openxmlformats.org/officeDocument/2006/relationships/hyperlink" Target="https://www.litres.ru/book/gerasim-amirovich-mk/organizacionnoe-povedenie-2-e-izd-per-i-dop-uchebnik-69831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lolo.cc/b/214620/read" TargetMode="External"/><Relationship Id="rId11" Type="http://schemas.openxmlformats.org/officeDocument/2006/relationships/hyperlink" Target="https://urait.ru/bcode/533669" TargetMode="External"/><Relationship Id="rId5" Type="http://schemas.openxmlformats.org/officeDocument/2006/relationships/hyperlink" Target="http://lib.ololo.cc/b/214620/read" TargetMode="External"/><Relationship Id="rId10" Type="http://schemas.openxmlformats.org/officeDocument/2006/relationships/hyperlink" Target="https://biblioclub.ru/index.php?page=book_red&amp;id=621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rait.ru%2Fbcode%2F510735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2023-12-17T13:28:00Z</dcterms:created>
  <dcterms:modified xsi:type="dcterms:W3CDTF">2024-01-04T10:18:00Z</dcterms:modified>
</cp:coreProperties>
</file>